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B785" w14:textId="31490B43" w:rsidR="00510B1D" w:rsidRDefault="00940F51" w:rsidP="00510B1D">
      <w:pPr>
        <w:pStyle w:val="Titel"/>
      </w:pPr>
      <w:bookmarkStart w:id="0" w:name="_Hlk58573628"/>
      <w:r>
        <w:t>Richtlijnen AVG voor</w:t>
      </w:r>
      <w:r w:rsidR="00510B1D">
        <w:t xml:space="preserve"> lokale besturen </w:t>
      </w:r>
    </w:p>
    <w:p w14:paraId="7DC28FF8" w14:textId="0D948788" w:rsidR="007F29C3" w:rsidRPr="00A47DBB" w:rsidRDefault="008753C7" w:rsidP="00A47DBB">
      <w:pPr>
        <w:rPr>
          <w:i/>
          <w:iCs/>
          <w:sz w:val="28"/>
          <w:szCs w:val="28"/>
        </w:rPr>
      </w:pPr>
      <w:r w:rsidRPr="007F29C3">
        <w:rPr>
          <w:i/>
          <w:iCs/>
          <w:sz w:val="28"/>
          <w:szCs w:val="28"/>
        </w:rPr>
        <w:t xml:space="preserve">Welke </w:t>
      </w:r>
      <w:r w:rsidR="00A60C1B" w:rsidRPr="007F29C3">
        <w:rPr>
          <w:i/>
          <w:iCs/>
          <w:sz w:val="28"/>
          <w:szCs w:val="28"/>
        </w:rPr>
        <w:t>documenten zijn van toepassing in welke gevallen</w:t>
      </w:r>
      <w:r w:rsidR="007F29C3">
        <w:rPr>
          <w:i/>
          <w:iCs/>
          <w:sz w:val="28"/>
          <w:szCs w:val="28"/>
        </w:rPr>
        <w:t>?</w:t>
      </w:r>
      <w:bookmarkStart w:id="1" w:name="_GoBack"/>
      <w:bookmarkEnd w:id="1"/>
    </w:p>
    <w:p w14:paraId="4120048D" w14:textId="6060D46F" w:rsidR="00083A49" w:rsidRDefault="00083A49" w:rsidP="00083A49">
      <w:pPr>
        <w:pStyle w:val="Kop1"/>
      </w:pPr>
      <w:r>
        <w:t>Samengevat (matrix</w:t>
      </w:r>
      <w:r w:rsidR="007F29C3">
        <w:t>)</w:t>
      </w:r>
    </w:p>
    <w:tbl>
      <w:tblPr>
        <w:tblStyle w:val="Tabelraster"/>
        <w:tblW w:w="0" w:type="auto"/>
        <w:tblLook w:val="04A0" w:firstRow="1" w:lastRow="0" w:firstColumn="1" w:lastColumn="0" w:noHBand="0" w:noVBand="1"/>
      </w:tblPr>
      <w:tblGrid>
        <w:gridCol w:w="5524"/>
        <w:gridCol w:w="1701"/>
        <w:gridCol w:w="1837"/>
      </w:tblGrid>
      <w:tr w:rsidR="00341FC9" w14:paraId="25C16A58" w14:textId="77777777" w:rsidTr="00B46953">
        <w:tc>
          <w:tcPr>
            <w:tcW w:w="5524" w:type="dxa"/>
          </w:tcPr>
          <w:p w14:paraId="5EB25410" w14:textId="77777777" w:rsidR="00341FC9" w:rsidRDefault="00341FC9" w:rsidP="00510B1D"/>
        </w:tc>
        <w:tc>
          <w:tcPr>
            <w:tcW w:w="1701" w:type="dxa"/>
          </w:tcPr>
          <w:p w14:paraId="7A4FC8E5" w14:textId="4D5206E6" w:rsidR="00341FC9" w:rsidRDefault="00341FC9" w:rsidP="00510B1D">
            <w:r>
              <w:t>Optie 1</w:t>
            </w:r>
          </w:p>
        </w:tc>
        <w:tc>
          <w:tcPr>
            <w:tcW w:w="1837" w:type="dxa"/>
          </w:tcPr>
          <w:p w14:paraId="61DAE649" w14:textId="71993CC3" w:rsidR="00341FC9" w:rsidRDefault="00341FC9" w:rsidP="00510B1D">
            <w:r>
              <w:t>Optie 2</w:t>
            </w:r>
          </w:p>
        </w:tc>
      </w:tr>
      <w:tr w:rsidR="00341FC9" w14:paraId="4E045E5E" w14:textId="77777777" w:rsidTr="00B46953">
        <w:tc>
          <w:tcPr>
            <w:tcW w:w="5524" w:type="dxa"/>
          </w:tcPr>
          <w:p w14:paraId="0819740F" w14:textId="1932926C" w:rsidR="00341FC9" w:rsidRDefault="00341FC9" w:rsidP="00510B1D">
            <w:r>
              <w:t>Verwerkersovereenkomst</w:t>
            </w:r>
            <w:r w:rsidR="00B46953">
              <w:t xml:space="preserve"> 1:</w:t>
            </w:r>
            <w:r>
              <w:t xml:space="preserve"> </w:t>
            </w:r>
            <w:r w:rsidR="00A60C1B">
              <w:t>B</w:t>
            </w:r>
            <w:r>
              <w:t>ronopsporing</w:t>
            </w:r>
          </w:p>
        </w:tc>
        <w:tc>
          <w:tcPr>
            <w:tcW w:w="1701" w:type="dxa"/>
          </w:tcPr>
          <w:p w14:paraId="53861EDE" w14:textId="6AAF9563" w:rsidR="00341FC9" w:rsidRDefault="00341FC9" w:rsidP="00510B1D">
            <w:r>
              <w:t>ja</w:t>
            </w:r>
          </w:p>
        </w:tc>
        <w:tc>
          <w:tcPr>
            <w:tcW w:w="1837" w:type="dxa"/>
          </w:tcPr>
          <w:p w14:paraId="5B5B060F" w14:textId="51BEBB79" w:rsidR="00341FC9" w:rsidRDefault="00B46953" w:rsidP="00510B1D">
            <w:r>
              <w:t>ja</w:t>
            </w:r>
          </w:p>
        </w:tc>
      </w:tr>
      <w:tr w:rsidR="00341FC9" w14:paraId="6025FFCB" w14:textId="77777777" w:rsidTr="00B46953">
        <w:tc>
          <w:tcPr>
            <w:tcW w:w="5524" w:type="dxa"/>
          </w:tcPr>
          <w:p w14:paraId="024465C4" w14:textId="300521E1" w:rsidR="00341FC9" w:rsidRDefault="00B46953" w:rsidP="00510B1D">
            <w:r>
              <w:t>Verwerkersovereenkomst 2: Contactonderzoek</w:t>
            </w:r>
          </w:p>
        </w:tc>
        <w:tc>
          <w:tcPr>
            <w:tcW w:w="1701" w:type="dxa"/>
          </w:tcPr>
          <w:p w14:paraId="1500CBB3" w14:textId="1E979903" w:rsidR="00341FC9" w:rsidRDefault="00B46953" w:rsidP="00510B1D">
            <w:r>
              <w:t>nee</w:t>
            </w:r>
          </w:p>
        </w:tc>
        <w:tc>
          <w:tcPr>
            <w:tcW w:w="1837" w:type="dxa"/>
          </w:tcPr>
          <w:p w14:paraId="5A934E0C" w14:textId="40B5C413" w:rsidR="00341FC9" w:rsidRDefault="00591CEA" w:rsidP="00510B1D">
            <w:r>
              <w:t>ja</w:t>
            </w:r>
          </w:p>
        </w:tc>
      </w:tr>
      <w:tr w:rsidR="00591CEA" w14:paraId="2E5E7282" w14:textId="77777777" w:rsidTr="00B46953">
        <w:tc>
          <w:tcPr>
            <w:tcW w:w="5524" w:type="dxa"/>
          </w:tcPr>
          <w:p w14:paraId="40DD6464" w14:textId="3B54AD16" w:rsidR="00591CEA" w:rsidRDefault="00591CEA" w:rsidP="00510B1D">
            <w:r>
              <w:t>Protocol 2 – verdere maatregelen</w:t>
            </w:r>
          </w:p>
        </w:tc>
        <w:tc>
          <w:tcPr>
            <w:tcW w:w="1701" w:type="dxa"/>
          </w:tcPr>
          <w:p w14:paraId="08612BF3" w14:textId="74D4DB9B" w:rsidR="00591CEA" w:rsidRDefault="008753C7" w:rsidP="00510B1D">
            <w:r>
              <w:t>aanbevolen</w:t>
            </w:r>
          </w:p>
        </w:tc>
        <w:tc>
          <w:tcPr>
            <w:tcW w:w="1837" w:type="dxa"/>
          </w:tcPr>
          <w:p w14:paraId="12DFCA3E" w14:textId="485F1292" w:rsidR="00591CEA" w:rsidRDefault="008753C7" w:rsidP="00510B1D">
            <w:r>
              <w:t>aanbevolen</w:t>
            </w:r>
          </w:p>
        </w:tc>
      </w:tr>
    </w:tbl>
    <w:p w14:paraId="06337916" w14:textId="77777777" w:rsidR="00341FC9" w:rsidRDefault="00341FC9" w:rsidP="00510B1D"/>
    <w:p w14:paraId="59E192F8" w14:textId="4104334C" w:rsidR="00510B1D" w:rsidRDefault="00510B1D" w:rsidP="00510B1D">
      <w:pPr>
        <w:pStyle w:val="Kop1"/>
      </w:pPr>
      <w:r>
        <w:t xml:space="preserve">vanuit </w:t>
      </w:r>
      <w:r w:rsidR="00940F51">
        <w:t>de activiteit van de</w:t>
      </w:r>
      <w:r>
        <w:t xml:space="preserve"> gemeente</w:t>
      </w:r>
    </w:p>
    <w:p w14:paraId="3DD02B3B" w14:textId="77777777" w:rsidR="00510B1D" w:rsidRDefault="00510B1D" w:rsidP="00510B1D"/>
    <w:p w14:paraId="761748ED" w14:textId="78C76B86" w:rsidR="00510B1D" w:rsidRPr="00A47DBB" w:rsidRDefault="00510B1D" w:rsidP="00510B1D">
      <w:pPr>
        <w:pStyle w:val="Lijstalinea"/>
        <w:numPr>
          <w:ilvl w:val="0"/>
          <w:numId w:val="2"/>
        </w:numPr>
        <w:spacing w:after="0" w:line="240" w:lineRule="auto"/>
        <w:contextualSpacing w:val="0"/>
        <w:rPr>
          <w:rFonts w:eastAsia="Times New Roman"/>
          <w:sz w:val="24"/>
          <w:szCs w:val="24"/>
        </w:rPr>
      </w:pPr>
      <w:r w:rsidRPr="00A47DBB">
        <w:rPr>
          <w:rFonts w:eastAsia="Times New Roman"/>
          <w:sz w:val="24"/>
          <w:szCs w:val="24"/>
        </w:rPr>
        <w:t>Mijn gemeente beschikt over gegevens over besmette personen, hun contacten en besmettingshaarden via eigen bronnen en neemt zelf verder initiatief zonder gebruik van de Controletoren of Zorgatlas: mijn gemeente is zelf verantwoordelijk voor de verwerking</w:t>
      </w:r>
      <w:r w:rsidR="00DF1F06" w:rsidRPr="00A47DBB">
        <w:rPr>
          <w:rFonts w:eastAsia="Times New Roman"/>
          <w:sz w:val="24"/>
          <w:szCs w:val="24"/>
        </w:rPr>
        <w:t>. Mijn gemeente zorgt ervoor dat de betrokkene(n) hiervoor toestemming geeft.</w:t>
      </w:r>
    </w:p>
    <w:p w14:paraId="7655ABC6" w14:textId="77777777" w:rsidR="00510B1D" w:rsidRPr="00A47DBB" w:rsidRDefault="00510B1D" w:rsidP="00510B1D">
      <w:pPr>
        <w:pStyle w:val="Lijstalinea"/>
        <w:numPr>
          <w:ilvl w:val="0"/>
          <w:numId w:val="2"/>
        </w:numPr>
        <w:spacing w:after="0" w:line="240" w:lineRule="auto"/>
        <w:contextualSpacing w:val="0"/>
        <w:rPr>
          <w:rFonts w:eastAsia="Times New Roman"/>
          <w:sz w:val="24"/>
          <w:szCs w:val="24"/>
        </w:rPr>
      </w:pPr>
      <w:r w:rsidRPr="00A47DBB">
        <w:rPr>
          <w:rFonts w:eastAsia="Times New Roman"/>
          <w:sz w:val="24"/>
          <w:szCs w:val="24"/>
        </w:rPr>
        <w:t>Mijn gemeente (eventueel aangevuld met OCMW) beschikt over gegevens over besmette personen, hun contacten en besmettingshaarden via eigen bronnen en wenst ook gebruik te maken van gegevens uit de Controletoren of Zorgatlas: op die manier zet mijn gemeente mee in op de bronopsporing en quarantainecoaching in opdracht van AZG en sluit hiervoor verwerkingsovereenkomst 1/Bronopsporing. Om verder ook de eigen data te kunnen koppelen aan de data uit de Controletoren, sluit de gemeente  (eventueel aangevuld met OCMW) protocol 2/Verdere maatregelen af met AZG.</w:t>
      </w:r>
    </w:p>
    <w:p w14:paraId="4FABB88D" w14:textId="2F56EBC0" w:rsidR="00510B1D" w:rsidRPr="00A47DBB" w:rsidRDefault="00510B1D" w:rsidP="00510B1D">
      <w:pPr>
        <w:pStyle w:val="Lijstalinea"/>
        <w:numPr>
          <w:ilvl w:val="0"/>
          <w:numId w:val="2"/>
        </w:numPr>
        <w:spacing w:after="0" w:line="240" w:lineRule="auto"/>
        <w:contextualSpacing w:val="0"/>
        <w:rPr>
          <w:rFonts w:eastAsia="Times New Roman"/>
          <w:sz w:val="24"/>
          <w:szCs w:val="24"/>
        </w:rPr>
      </w:pPr>
      <w:r w:rsidRPr="00A47DBB">
        <w:rPr>
          <w:rFonts w:eastAsia="Times New Roman"/>
          <w:sz w:val="24"/>
          <w:szCs w:val="24"/>
        </w:rPr>
        <w:t xml:space="preserve">Mijn gemeente vertrekt vanuit de gegevens uit de Controletoren of Zorgatlas en neemt zelf verder initiatief op basis van deze gegevens: mijn gemeente werkt in opdracht van VAZG en sluit verwerkingsovereenkomst 1/Bronopsporing af met AZG (optie 1 BVR). Indien mijn gemeente de gegevens verwerkt voor verdere initiatieven (zoals bijvoorbeeld het doen van boodschappen of het aanbieden van financiële hulp), dan </w:t>
      </w:r>
      <w:r w:rsidR="00DF1F06" w:rsidRPr="00A47DBB">
        <w:rPr>
          <w:rFonts w:eastAsia="Times New Roman"/>
          <w:sz w:val="24"/>
          <w:szCs w:val="24"/>
        </w:rPr>
        <w:t>zorgt mijn gemeente ervoor dat de betrokkene(n) hiervoor toestemming geeft</w:t>
      </w:r>
      <w:r w:rsidRPr="00A47DBB">
        <w:rPr>
          <w:rFonts w:eastAsia="Times New Roman"/>
          <w:sz w:val="24"/>
          <w:szCs w:val="24"/>
        </w:rPr>
        <w:t xml:space="preserve"> en sluit ze hiervoor protocol 2/Verdere maatregelen af met AZG</w:t>
      </w:r>
      <w:r w:rsidR="00DF1F06" w:rsidRPr="00A47DBB">
        <w:rPr>
          <w:rFonts w:eastAsia="Times New Roman"/>
          <w:sz w:val="24"/>
          <w:szCs w:val="24"/>
        </w:rPr>
        <w:t xml:space="preserve"> om deze eigen data vervolgens te kunnen koppelen aan de data uit de Controletoren.</w:t>
      </w:r>
    </w:p>
    <w:p w14:paraId="5C997ADE" w14:textId="349EE929" w:rsidR="00510B1D" w:rsidRPr="00A47DBB" w:rsidRDefault="00510B1D" w:rsidP="00D6601F">
      <w:pPr>
        <w:pStyle w:val="Lijstalinea"/>
        <w:numPr>
          <w:ilvl w:val="0"/>
          <w:numId w:val="2"/>
        </w:numPr>
        <w:spacing w:after="0" w:line="240" w:lineRule="auto"/>
        <w:contextualSpacing w:val="0"/>
      </w:pPr>
      <w:r w:rsidRPr="00A47DBB">
        <w:rPr>
          <w:rFonts w:eastAsia="Times New Roman"/>
          <w:sz w:val="24"/>
          <w:szCs w:val="24"/>
        </w:rPr>
        <w:t xml:space="preserve">Mijn gemeente neemt tickets over van het Vlaamse contactcenter (optie 2 BVR): mijn gemeente sluit verwerkingsovereenkomst 2/Contactonderzoek af met AZG. Indien mijn gemeente bijkomend gebruik maakt van de gegevens uit de Controletoren of Zorgatlas en verder initiatief neemt in het kader van bronopsporing of quarantainecoaching, sluit mijn gemeente bijkomend verwerkingsovereenkomst 1/Bronopsporing af met AZG (optie 1 BVR). Indien mijn gemeente de gegevens voor verdere initiatieven verwerkt, </w:t>
      </w:r>
      <w:r w:rsidR="00DF1F06" w:rsidRPr="00A47DBB">
        <w:rPr>
          <w:rFonts w:eastAsia="Times New Roman"/>
          <w:sz w:val="24"/>
          <w:szCs w:val="24"/>
        </w:rPr>
        <w:t>dan zorgt mijn gemeente ervoor dat de betrokkene(n) hiervoor toestemming geeft en sluit ze hiervoor protocol 2/Verdere maatregelen af met AZG om deze eigen data vervolgens te kunnen koppelen aan de data uit de Controletoren.</w:t>
      </w:r>
    </w:p>
    <w:p w14:paraId="5F40020D" w14:textId="3A709F1A" w:rsidR="00510B1D" w:rsidRPr="0088159C" w:rsidRDefault="00510B1D" w:rsidP="00510B1D"/>
    <w:p w14:paraId="359B9B2B" w14:textId="5A41DDEF" w:rsidR="00510B1D" w:rsidRDefault="00510B1D" w:rsidP="00510B1D">
      <w:pPr>
        <w:pStyle w:val="Kop1"/>
      </w:pPr>
      <w:r>
        <w:lastRenderedPageBreak/>
        <w:t>overzicht verschillende documenten</w:t>
      </w:r>
    </w:p>
    <w:p w14:paraId="2D9C906C" w14:textId="77777777" w:rsidR="00510B1D" w:rsidRDefault="00510B1D" w:rsidP="00C266EB">
      <w:pPr>
        <w:pStyle w:val="Kop2"/>
      </w:pPr>
    </w:p>
    <w:p w14:paraId="6A5D43DE" w14:textId="77777777" w:rsidR="005C7614" w:rsidRDefault="00A25D4A" w:rsidP="00C266EB">
      <w:pPr>
        <w:pStyle w:val="Kop2"/>
      </w:pPr>
      <w:r>
        <w:t>Verwerkersovereenkomst 1</w:t>
      </w:r>
      <w:r w:rsidR="00510B1D">
        <w:t>/Bronopsporing</w:t>
      </w:r>
    </w:p>
    <w:p w14:paraId="1701842D" w14:textId="77777777" w:rsidR="00C266EB" w:rsidRPr="00C266EB" w:rsidRDefault="00C266EB" w:rsidP="00C266EB">
      <w:r>
        <w:t>Lokale besturen die willen bijdragen aan de quarantainecoaching en het brononderzoek, sluiten hiervoor verwerkersovereenkomst 1</w:t>
      </w:r>
      <w:r w:rsidR="00510B1D">
        <w:t>/Bronopsporing</w:t>
      </w:r>
      <w:r>
        <w:t xml:space="preserve"> af met</w:t>
      </w:r>
      <w:r w:rsidR="00DC1F08">
        <w:t xml:space="preserve"> het Agentschap</w:t>
      </w:r>
      <w:r>
        <w:t xml:space="preserve"> Zorg en Gezondheid (art. 7, 2° BVR 13 november 2020). </w:t>
      </w:r>
      <w:bookmarkStart w:id="2" w:name="_Hlk58570617"/>
      <w:r>
        <w:t>Ook lokale besturen die instappen in optie 2</w:t>
      </w:r>
      <w:r w:rsidR="00C90BA6">
        <w:t>, moeten verwerkersovereenkomst 1</w:t>
      </w:r>
      <w:r w:rsidR="00510B1D">
        <w:t>/Bronopsporing</w:t>
      </w:r>
      <w:r w:rsidR="00C90BA6">
        <w:t xml:space="preserve"> afsluiten omdat de verwerkersovereenkomst 1</w:t>
      </w:r>
      <w:r w:rsidR="00510B1D">
        <w:t>/Bronopsporing</w:t>
      </w:r>
      <w:r w:rsidR="00C90BA6">
        <w:t xml:space="preserve"> de activiteiten rond quarantainecoaching en bronopsporing regelt.</w:t>
      </w:r>
      <w:bookmarkEnd w:id="2"/>
      <w:r w:rsidR="00DC1F08">
        <w:t xml:space="preserve"> Bronopsporing en quarantainecoaching gebeuren dus in opdracht van het Agentschap Zorg en Gezondheid, met het lokaal bestuur als verwerker. Dit is dezelfde manier van werken zoals het op dit ogenblik ook voor de COVID-19-teams </w:t>
      </w:r>
      <w:r w:rsidR="00510B1D">
        <w:t>is</w:t>
      </w:r>
      <w:r w:rsidR="00DC1F08">
        <w:t xml:space="preserve"> geregeld.</w:t>
      </w:r>
    </w:p>
    <w:p w14:paraId="303874BC" w14:textId="77777777" w:rsidR="00A25D4A" w:rsidRDefault="00A25D4A" w:rsidP="00C266EB">
      <w:pPr>
        <w:pStyle w:val="Kop2"/>
      </w:pPr>
      <w:r>
        <w:t>Verwerkersovereenkomst 2</w:t>
      </w:r>
      <w:r w:rsidR="00510B1D">
        <w:t>/Contactonderzoek</w:t>
      </w:r>
    </w:p>
    <w:p w14:paraId="00E32798" w14:textId="77777777" w:rsidR="00510B1D" w:rsidRDefault="00C266EB">
      <w:r>
        <w:t xml:space="preserve">Lokale besturen die wensen deel te nemen aan het contactonderzoek, sluiten </w:t>
      </w:r>
      <w:r w:rsidR="00C90BA6">
        <w:t xml:space="preserve">bijkomend </w:t>
      </w:r>
      <w:r>
        <w:t>verwerkersovereenkomst 2</w:t>
      </w:r>
      <w:r w:rsidR="00510B1D">
        <w:t>/Contactonderzoek</w:t>
      </w:r>
      <w:r>
        <w:t xml:space="preserve"> af met </w:t>
      </w:r>
      <w:r w:rsidR="00DC1F08">
        <w:t xml:space="preserve">het Agentschap </w:t>
      </w:r>
      <w:r>
        <w:t>Zorg en Gezondheid (art. 7, 1° BVR 13 november 2020)</w:t>
      </w:r>
      <w:r w:rsidR="00C90BA6">
        <w:t xml:space="preserve">. </w:t>
      </w:r>
      <w:r w:rsidR="00510B1D">
        <w:t>Ook het contactonderzoek gebeurt door de lokale besturen in opdracht van het Agentschap Zorg en Gezondheid, met het lokaal bestuur als verwerker.</w:t>
      </w:r>
    </w:p>
    <w:p w14:paraId="257296C9" w14:textId="77777777" w:rsidR="00DC1F08" w:rsidRDefault="00510B1D">
      <w:r>
        <w:t>L</w:t>
      </w:r>
      <w:r w:rsidR="00C90BA6">
        <w:t>okale besturen die instappen in optie 2, moeten verwerkersovereenkomst 1</w:t>
      </w:r>
      <w:r>
        <w:t>/Bronopsporing</w:t>
      </w:r>
      <w:r w:rsidR="00C90BA6">
        <w:t xml:space="preserve"> afsluiten omdat de verwerkersovereenkomst 1</w:t>
      </w:r>
      <w:r>
        <w:t>/Bronopsporing</w:t>
      </w:r>
      <w:r w:rsidR="00C90BA6">
        <w:t xml:space="preserve"> de activiteiten rond quarantainecoaching en bronopsporing regelt. Die activiteiten zijn niet opgenomen in verwerkersovereenkomst </w:t>
      </w:r>
      <w:r>
        <w:t>2/Contactonderzoek</w:t>
      </w:r>
      <w:r w:rsidR="00C90BA6">
        <w:t>.</w:t>
      </w:r>
      <w:r w:rsidR="00DC1F08">
        <w:t xml:space="preserve"> </w:t>
      </w:r>
    </w:p>
    <w:p w14:paraId="7DFA6BD5" w14:textId="77777777" w:rsidR="00A25D4A" w:rsidRDefault="00A25D4A" w:rsidP="00C266EB">
      <w:pPr>
        <w:pStyle w:val="Kop2"/>
      </w:pPr>
      <w:r>
        <w:t>Protocol 2</w:t>
      </w:r>
      <w:r w:rsidR="00510B1D">
        <w:t>/Verdere maatregelen</w:t>
      </w:r>
    </w:p>
    <w:p w14:paraId="0B07D6DF" w14:textId="77777777" w:rsidR="004345D0" w:rsidRPr="007662F0" w:rsidRDefault="00DC1F08" w:rsidP="00DC1F08">
      <w:pPr>
        <w:rPr>
          <w:rFonts w:ascii="Calibri" w:hAnsi="Calibri" w:cs="Calibri"/>
        </w:rPr>
      </w:pPr>
      <w:r>
        <w:t>Indien lokale besturen wensen verdere maatregele</w:t>
      </w:r>
      <w:r w:rsidR="004345D0">
        <w:t xml:space="preserve">n te nemen en zich in het bijzonder wensen in te zetten op kwetsbare personen, dan treden zij ook op als verwerkingsverantwoordelijke. </w:t>
      </w:r>
      <w:r w:rsidR="004345D0" w:rsidRPr="007662F0">
        <w:rPr>
          <w:rFonts w:ascii="Calibri" w:hAnsi="Calibri" w:cs="Calibri"/>
        </w:rPr>
        <w:t>Hiervoor sluit het lokaal bestuur protocol</w:t>
      </w:r>
      <w:r w:rsidR="00510B1D">
        <w:rPr>
          <w:rFonts w:ascii="Calibri" w:hAnsi="Calibri" w:cs="Calibri"/>
        </w:rPr>
        <w:t xml:space="preserve"> 2/Verdere maatregelen</w:t>
      </w:r>
      <w:r w:rsidR="004345D0" w:rsidRPr="007662F0">
        <w:rPr>
          <w:rFonts w:ascii="Calibri" w:hAnsi="Calibri" w:cs="Calibri"/>
        </w:rPr>
        <w:t xml:space="preserve"> af met het Agentschap Zorg en Gezondheid. De mogelijke bijkomende acties zijn (niet limitatief):</w:t>
      </w:r>
    </w:p>
    <w:p w14:paraId="46CAF2AB" w14:textId="77777777" w:rsidR="004345D0" w:rsidRPr="007662F0" w:rsidRDefault="004345D0" w:rsidP="004345D0">
      <w:pPr>
        <w:pStyle w:val="Lijstalinea"/>
        <w:numPr>
          <w:ilvl w:val="0"/>
          <w:numId w:val="1"/>
        </w:numPr>
        <w:rPr>
          <w:rStyle w:val="normaltextrun"/>
          <w:rFonts w:ascii="Calibri" w:hAnsi="Calibri" w:cs="Calibri"/>
        </w:rPr>
      </w:pPr>
      <w:r w:rsidRPr="007662F0">
        <w:rPr>
          <w:rStyle w:val="normaltextrun"/>
          <w:rFonts w:ascii="Calibri" w:hAnsi="Calibri" w:cs="Calibri"/>
        </w:rPr>
        <w:t>het verstrekken van informatie op </w:t>
      </w:r>
      <w:r w:rsidRPr="007662F0">
        <w:rPr>
          <w:rStyle w:val="findhit"/>
          <w:rFonts w:ascii="Calibri" w:hAnsi="Calibri" w:cs="Calibri"/>
        </w:rPr>
        <w:t>maat </w:t>
      </w:r>
      <w:r w:rsidRPr="007662F0">
        <w:rPr>
          <w:rStyle w:val="normaltextrun"/>
          <w:rFonts w:ascii="Calibri" w:hAnsi="Calibri" w:cs="Calibri"/>
        </w:rPr>
        <w:t>van betrokkene;</w:t>
      </w:r>
    </w:p>
    <w:p w14:paraId="72CC52CC" w14:textId="77777777" w:rsidR="004345D0" w:rsidRPr="007662F0" w:rsidRDefault="004345D0" w:rsidP="004345D0">
      <w:pPr>
        <w:pStyle w:val="Lijstalinea"/>
        <w:numPr>
          <w:ilvl w:val="0"/>
          <w:numId w:val="1"/>
        </w:numPr>
        <w:rPr>
          <w:rStyle w:val="normaltextrun"/>
          <w:rFonts w:ascii="Calibri" w:hAnsi="Calibri" w:cs="Calibri"/>
        </w:rPr>
      </w:pPr>
      <w:r w:rsidRPr="007662F0">
        <w:rPr>
          <w:rStyle w:val="normaltextrun"/>
          <w:rFonts w:ascii="Calibri" w:hAnsi="Calibri" w:cs="Calibri"/>
        </w:rPr>
        <w:t>(mee) zorgen voor kinderopvang;</w:t>
      </w:r>
    </w:p>
    <w:p w14:paraId="239163A8" w14:textId="77777777" w:rsidR="004345D0" w:rsidRPr="007662F0" w:rsidRDefault="004345D0" w:rsidP="004345D0">
      <w:pPr>
        <w:pStyle w:val="Lijstalinea"/>
        <w:numPr>
          <w:ilvl w:val="0"/>
          <w:numId w:val="1"/>
        </w:numPr>
        <w:rPr>
          <w:rStyle w:val="normaltextrun"/>
          <w:rFonts w:ascii="Calibri" w:hAnsi="Calibri" w:cs="Calibri"/>
        </w:rPr>
      </w:pPr>
      <w:r w:rsidRPr="007662F0">
        <w:rPr>
          <w:rStyle w:val="normaltextrun"/>
          <w:rFonts w:ascii="Calibri" w:hAnsi="Calibri" w:cs="Calibri"/>
        </w:rPr>
        <w:t>het doen van boodschappen;</w:t>
      </w:r>
    </w:p>
    <w:p w14:paraId="1BA8EE23" w14:textId="77777777" w:rsidR="004345D0" w:rsidRPr="007662F0" w:rsidRDefault="004345D0" w:rsidP="004345D0">
      <w:pPr>
        <w:pStyle w:val="Lijstalinea"/>
        <w:numPr>
          <w:ilvl w:val="0"/>
          <w:numId w:val="1"/>
        </w:numPr>
        <w:rPr>
          <w:rStyle w:val="normaltextrun"/>
          <w:rFonts w:ascii="Calibri" w:hAnsi="Calibri" w:cs="Calibri"/>
        </w:rPr>
      </w:pPr>
      <w:r w:rsidRPr="007662F0">
        <w:rPr>
          <w:rStyle w:val="normaltextrun"/>
          <w:rFonts w:ascii="Calibri" w:hAnsi="Calibri" w:cs="Calibri"/>
        </w:rPr>
        <w:t>maatregelen nemen om vervreemding of vereenzaming tegen te gaan;</w:t>
      </w:r>
    </w:p>
    <w:p w14:paraId="3AC480D8" w14:textId="77777777" w:rsidR="004345D0" w:rsidRPr="007662F0" w:rsidRDefault="004345D0" w:rsidP="004345D0">
      <w:pPr>
        <w:pStyle w:val="Lijstalinea"/>
        <w:numPr>
          <w:ilvl w:val="0"/>
          <w:numId w:val="1"/>
        </w:numPr>
        <w:rPr>
          <w:rStyle w:val="normaltextrun"/>
          <w:rFonts w:ascii="Calibri" w:hAnsi="Calibri" w:cs="Calibri"/>
        </w:rPr>
      </w:pPr>
      <w:r w:rsidRPr="007662F0">
        <w:rPr>
          <w:rStyle w:val="normaltextrun"/>
          <w:rFonts w:ascii="Calibri" w:hAnsi="Calibri" w:cs="Calibri"/>
        </w:rPr>
        <w:t>verlenen van psychologische bijstand;</w:t>
      </w:r>
    </w:p>
    <w:p w14:paraId="1F8FA6ED" w14:textId="77777777" w:rsidR="004345D0" w:rsidRPr="007662F0" w:rsidRDefault="004345D0" w:rsidP="004345D0">
      <w:pPr>
        <w:pStyle w:val="Lijstalinea"/>
        <w:numPr>
          <w:ilvl w:val="0"/>
          <w:numId w:val="1"/>
        </w:numPr>
        <w:rPr>
          <w:rStyle w:val="normaltextrun"/>
          <w:rFonts w:ascii="Calibri" w:hAnsi="Calibri" w:cs="Calibri"/>
        </w:rPr>
      </w:pPr>
      <w:r w:rsidRPr="007662F0">
        <w:rPr>
          <w:rStyle w:val="normaltextrun"/>
          <w:rFonts w:ascii="Calibri" w:hAnsi="Calibri" w:cs="Calibri"/>
        </w:rPr>
        <w:t>regelen van administratie;</w:t>
      </w:r>
    </w:p>
    <w:p w14:paraId="65039E5F" w14:textId="77777777" w:rsidR="004345D0" w:rsidRPr="007662F0" w:rsidRDefault="004345D0" w:rsidP="004345D0">
      <w:pPr>
        <w:pStyle w:val="Lijstalinea"/>
        <w:numPr>
          <w:ilvl w:val="0"/>
          <w:numId w:val="1"/>
        </w:numPr>
        <w:rPr>
          <w:rFonts w:ascii="Calibri" w:hAnsi="Calibri" w:cs="Calibri"/>
        </w:rPr>
      </w:pPr>
      <w:r w:rsidRPr="007662F0">
        <w:rPr>
          <w:rStyle w:val="normaltextrun"/>
          <w:rFonts w:ascii="Calibri" w:hAnsi="Calibri" w:cs="Calibri"/>
        </w:rPr>
        <w:t>verstrekken van een bijkomende financiële tegemoetkoming.</w:t>
      </w:r>
      <w:r w:rsidRPr="007662F0">
        <w:rPr>
          <w:rStyle w:val="eop"/>
          <w:rFonts w:ascii="Calibri" w:hAnsi="Calibri" w:cs="Calibri"/>
        </w:rPr>
        <w:t> </w:t>
      </w:r>
    </w:p>
    <w:p w14:paraId="56DF9F44" w14:textId="77777777" w:rsidR="004345D0" w:rsidRPr="007662F0" w:rsidRDefault="004345D0" w:rsidP="004345D0">
      <w:pPr>
        <w:rPr>
          <w:rFonts w:ascii="Calibri" w:hAnsi="Calibri" w:cs="Calibri"/>
        </w:rPr>
      </w:pPr>
      <w:r w:rsidRPr="007662F0">
        <w:rPr>
          <w:rFonts w:ascii="Calibri" w:hAnsi="Calibri" w:cs="Calibri"/>
        </w:rPr>
        <w:t xml:space="preserve">Voor het ondernemen van deze bijkomende maatregelen, zal het lokaal bestuur ook steeds de toestemming van de betrokkene vragen. </w:t>
      </w:r>
    </w:p>
    <w:p w14:paraId="5BEDDE1A" w14:textId="77777777" w:rsidR="004345D0" w:rsidRPr="007662F0" w:rsidRDefault="004345D0" w:rsidP="004345D0">
      <w:pPr>
        <w:rPr>
          <w:rFonts w:ascii="Calibri" w:hAnsi="Calibri" w:cs="Calibri"/>
        </w:rPr>
      </w:pPr>
      <w:r w:rsidRPr="007662F0">
        <w:rPr>
          <w:rFonts w:ascii="Calibri" w:hAnsi="Calibri" w:cs="Calibri"/>
        </w:rPr>
        <w:t>Ook indien het lokaal bestuur eigen databanken wenst te koppelen aan de data van het Agentschap Zorg en Gezondheid</w:t>
      </w:r>
      <w:r w:rsidR="007662F0" w:rsidRPr="007662F0">
        <w:rPr>
          <w:rFonts w:ascii="Calibri" w:hAnsi="Calibri" w:cs="Calibri"/>
        </w:rPr>
        <w:t>, zal het lokaal bestuur protocol 2</w:t>
      </w:r>
      <w:r w:rsidR="00510B1D">
        <w:rPr>
          <w:rFonts w:ascii="Calibri" w:hAnsi="Calibri" w:cs="Calibri"/>
        </w:rPr>
        <w:t>/Verdere maatregelen</w:t>
      </w:r>
      <w:r w:rsidR="007662F0" w:rsidRPr="007662F0">
        <w:rPr>
          <w:rFonts w:ascii="Calibri" w:hAnsi="Calibri" w:cs="Calibri"/>
        </w:rPr>
        <w:t xml:space="preserve"> moeten afsluiten. </w:t>
      </w:r>
      <w:r w:rsidR="00510B1D">
        <w:rPr>
          <w:rFonts w:ascii="Calibri" w:hAnsi="Calibri" w:cs="Calibri"/>
        </w:rPr>
        <w:t xml:space="preserve">Een expliciete motivering van deze koppeling moet opgenomen worden in het protocol 2/Verdere maatregelen. </w:t>
      </w:r>
      <w:r w:rsidR="007662F0" w:rsidRPr="007662F0">
        <w:rPr>
          <w:rFonts w:ascii="Calibri" w:hAnsi="Calibri" w:cs="Calibri"/>
        </w:rPr>
        <w:t xml:space="preserve"> </w:t>
      </w:r>
      <w:bookmarkEnd w:id="0"/>
    </w:p>
    <w:sectPr w:rsidR="004345D0" w:rsidRPr="007662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1F5D" w14:textId="77777777" w:rsidR="00A21FCA" w:rsidRDefault="00A21FCA" w:rsidP="00A47DBB">
      <w:pPr>
        <w:spacing w:after="0" w:line="240" w:lineRule="auto"/>
      </w:pPr>
      <w:r>
        <w:separator/>
      </w:r>
    </w:p>
  </w:endnote>
  <w:endnote w:type="continuationSeparator" w:id="0">
    <w:p w14:paraId="1D49C96D" w14:textId="77777777" w:rsidR="00A21FCA" w:rsidRDefault="00A21FCA" w:rsidP="00A4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4BE25" w14:textId="77777777" w:rsidR="00A21FCA" w:rsidRDefault="00A21FCA" w:rsidP="00A47DBB">
      <w:pPr>
        <w:spacing w:after="0" w:line="240" w:lineRule="auto"/>
      </w:pPr>
      <w:r>
        <w:separator/>
      </w:r>
    </w:p>
  </w:footnote>
  <w:footnote w:type="continuationSeparator" w:id="0">
    <w:p w14:paraId="5BC47396" w14:textId="77777777" w:rsidR="00A21FCA" w:rsidRDefault="00A21FCA" w:rsidP="00A47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78C"/>
    <w:multiLevelType w:val="hybridMultilevel"/>
    <w:tmpl w:val="5F327034"/>
    <w:lvl w:ilvl="0" w:tplc="400802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D643862"/>
    <w:multiLevelType w:val="hybridMultilevel"/>
    <w:tmpl w:val="96CC8F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4A"/>
    <w:rsid w:val="00083A49"/>
    <w:rsid w:val="001D4202"/>
    <w:rsid w:val="002F1466"/>
    <w:rsid w:val="00341FC9"/>
    <w:rsid w:val="004345D0"/>
    <w:rsid w:val="00510B1D"/>
    <w:rsid w:val="00591CEA"/>
    <w:rsid w:val="005C7614"/>
    <w:rsid w:val="007662F0"/>
    <w:rsid w:val="007F29C3"/>
    <w:rsid w:val="008753C7"/>
    <w:rsid w:val="00940F51"/>
    <w:rsid w:val="00A21FCA"/>
    <w:rsid w:val="00A25D4A"/>
    <w:rsid w:val="00A47DBB"/>
    <w:rsid w:val="00A60C1B"/>
    <w:rsid w:val="00A81381"/>
    <w:rsid w:val="00B46953"/>
    <w:rsid w:val="00C266EB"/>
    <w:rsid w:val="00C90BA6"/>
    <w:rsid w:val="00DC1F08"/>
    <w:rsid w:val="00DF1F06"/>
    <w:rsid w:val="00E54A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F7D9"/>
  <w15:chartTrackingRefBased/>
  <w15:docId w15:val="{0C178A98-D681-4D09-B294-64A91FE5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6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266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66E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266E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345D0"/>
    <w:pPr>
      <w:ind w:left="720"/>
      <w:contextualSpacing/>
    </w:pPr>
  </w:style>
  <w:style w:type="paragraph" w:customStyle="1" w:styleId="paragraph">
    <w:name w:val="paragraph"/>
    <w:basedOn w:val="Standaard"/>
    <w:rsid w:val="004345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4345D0"/>
  </w:style>
  <w:style w:type="character" w:customStyle="1" w:styleId="findhit">
    <w:name w:val="findhit"/>
    <w:basedOn w:val="Standaardalinea-lettertype"/>
    <w:rsid w:val="004345D0"/>
  </w:style>
  <w:style w:type="character" w:customStyle="1" w:styleId="eop">
    <w:name w:val="eop"/>
    <w:basedOn w:val="Standaardalinea-lettertype"/>
    <w:rsid w:val="004345D0"/>
  </w:style>
  <w:style w:type="paragraph" w:styleId="Ballontekst">
    <w:name w:val="Balloon Text"/>
    <w:basedOn w:val="Standaard"/>
    <w:link w:val="BallontekstChar"/>
    <w:uiPriority w:val="99"/>
    <w:semiHidden/>
    <w:unhideWhenUsed/>
    <w:rsid w:val="00510B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0B1D"/>
    <w:rPr>
      <w:rFonts w:ascii="Segoe UI" w:hAnsi="Segoe UI" w:cs="Segoe UI"/>
      <w:sz w:val="18"/>
      <w:szCs w:val="18"/>
    </w:rPr>
  </w:style>
  <w:style w:type="paragraph" w:styleId="Titel">
    <w:name w:val="Title"/>
    <w:basedOn w:val="Standaard"/>
    <w:next w:val="Standaard"/>
    <w:link w:val="TitelChar"/>
    <w:uiPriority w:val="10"/>
    <w:qFormat/>
    <w:rsid w:val="00510B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0B1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34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021018">
      <w:bodyDiv w:val="1"/>
      <w:marLeft w:val="0"/>
      <w:marRight w:val="0"/>
      <w:marTop w:val="0"/>
      <w:marBottom w:val="0"/>
      <w:divBdr>
        <w:top w:val="none" w:sz="0" w:space="0" w:color="auto"/>
        <w:left w:val="none" w:sz="0" w:space="0" w:color="auto"/>
        <w:bottom w:val="none" w:sz="0" w:space="0" w:color="auto"/>
        <w:right w:val="none" w:sz="0" w:space="0" w:color="auto"/>
      </w:divBdr>
      <w:divsChild>
        <w:div w:id="1092971742">
          <w:marLeft w:val="0"/>
          <w:marRight w:val="0"/>
          <w:marTop w:val="0"/>
          <w:marBottom w:val="0"/>
          <w:divBdr>
            <w:top w:val="none" w:sz="0" w:space="0" w:color="auto"/>
            <w:left w:val="none" w:sz="0" w:space="0" w:color="auto"/>
            <w:bottom w:val="none" w:sz="0" w:space="0" w:color="auto"/>
            <w:right w:val="none" w:sz="0" w:space="0" w:color="auto"/>
          </w:divBdr>
        </w:div>
        <w:div w:id="66899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4321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Verstraelen Sarah</dc:creator>
  <cp:keywords/>
  <dc:description/>
  <cp:lastModifiedBy>Van de Kauter Els</cp:lastModifiedBy>
  <cp:revision>3</cp:revision>
  <dcterms:created xsi:type="dcterms:W3CDTF">2020-12-11T17:49:00Z</dcterms:created>
  <dcterms:modified xsi:type="dcterms:W3CDTF">2020-12-14T07:20:00Z</dcterms:modified>
</cp:coreProperties>
</file>